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UNIVERSITATEA</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FACULTATEA</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de Științe Politice</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DEPARTAMENTUL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Științe Politice și Studii Europene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DOMENIUL DE STUDII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PROGRAMUL DE STUDII</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(Specializarea): SP, RISE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bCs w:val="1"/>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FIŞA DISCIPLINEI</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bCs w:val="1"/>
          <w:i w:val="0"/>
          <w:iCs w:val="0"/>
          <w:smallCaps w:val="0"/>
          <w:strike w:val="0"/>
          <w:sz w:val="32"/>
          <w:szCs w:val="32"/>
          <w:u w:val="none"/>
          <w:shd w:fill="auto" w:val="clear"/>
          <w:vertAlign w:val="baseline"/>
        </w:rPr>
      </w:pPr>
      <w:r w:rsidDel="00000000" w:rsidR="00000000" w:rsidRPr="00000000">
        <w:rPr>
          <w:b w:val="1"/>
          <w:bCs w:val="1"/>
          <w:sz w:val="32"/>
          <w:szCs w:val="32"/>
          <w:rtl w:val="0"/>
        </w:rPr>
        <w:t xml:space="preserve">Antidiscriminare, Multiculturalism și Protecția Minorităților (AMPM)</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Statutul disciplinei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obligatorie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opţională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facultativă</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Nivelul de studii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Licenţă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Masterat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Doctorat</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Anul de studii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tl w:val="0"/>
        </w:rPr>
        <w:t xml:space="preserve">3</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Semestrul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tl w:val="0"/>
        </w:rPr>
        <w:t xml:space="preserve">1</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Titularul cursului: </w:t>
      </w:r>
      <w:r w:rsidDel="00000000" w:rsidR="00000000" w:rsidRPr="00000000">
        <w:rPr>
          <w:rFonts w:ascii="Times New Roman" w:cs="Times New Roman" w:eastAsia="Times New Roman" w:hAnsi="Times New Roman"/>
          <w:b w:val="0"/>
          <w:bCs w:val="0"/>
          <w:i w:val="1"/>
          <w:iCs w:val="1"/>
          <w:smallCaps w:val="0"/>
          <w:strike w:val="0"/>
          <w:color w:val="000000"/>
          <w:sz w:val="28"/>
          <w:szCs w:val="28"/>
          <w:u w:val="none"/>
          <w:shd w:fill="auto" w:val="clear"/>
          <w:vertAlign w:val="baseline"/>
          <w:rtl w:val="0"/>
        </w:rPr>
        <w:t xml:space="preserve">Lect. Univ. Dr. Măriuca-Oana Constantin</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tbl>
      <w:tblPr>
        <w:tblStyle w:val="Table1"/>
        <w:tblW w:w="9066.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2042"/>
        <w:gridCol w:w="1814"/>
        <w:gridCol w:w="1352"/>
        <w:gridCol w:w="1353"/>
        <w:gridCol w:w="1352"/>
        <w:gridCol w:w="1153"/>
        <w:tblGridChange w:id="0">
          <w:tblGrid>
            <w:gridCol w:w="2042"/>
            <w:gridCol w:w="1814"/>
            <w:gridCol w:w="1352"/>
            <w:gridCol w:w="1353"/>
            <w:gridCol w:w="1352"/>
            <w:gridCol w:w="1153"/>
          </w:tblGrid>
        </w:tblGridChange>
      </w:tblGrid>
      <w:tr>
        <w:trPr>
          <w:cantSplit w:val="0"/>
          <w:trHeight w:val="330" w:hRule="atLeast"/>
          <w:tblHeader w:val="0"/>
        </w:trPr>
        <w:tc>
          <w:tcPr>
            <w:gridSpan w:val="6"/>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Număr de ore/Verificarea/Credite </w:t>
            </w:r>
            <w:r w:rsidDel="00000000" w:rsidR="00000000" w:rsidRPr="00000000">
              <w:rPr>
                <w:rtl w:val="0"/>
              </w:rPr>
            </w:r>
          </w:p>
        </w:tc>
      </w:tr>
      <w:tr>
        <w:trPr>
          <w:cantSplit w:val="0"/>
          <w:trHeight w:val="33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Credite </w:t>
            </w:r>
            <w:r w:rsidDel="00000000" w:rsidR="00000000" w:rsidRPr="00000000">
              <w:rPr>
                <w:rtl w:val="0"/>
              </w:rPr>
            </w:r>
          </w:p>
        </w:tc>
      </w:tr>
      <w:tr>
        <w:trPr>
          <w:cantSplit w:val="0"/>
          <w:trHeight w:val="775"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3">
            <w:pPr>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4">
            <w:pPr>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5">
            <w:pP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6</w:t>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108" w:right="0" w:hanging="108"/>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O1: Asimilarea conceptelor fundamentale din domeniul protecției minorităților naționale.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O2: Înțelegerea evoluției sistemelor și standardelor de protecție a minorităților naționale, pe baza studierii celor mai importante convenții internaționale în domeniu.</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O3: Înțelegerea, pe baza unor studii de caz, a importanței normelor, instituțiilor și politicilor care asigură protecția minorităților și a membrilor acestora în fața asimilării forțate, discriminării și a diferitelor forme de persecuție.</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O4: Utilizarea metodologiei specifice de analiză juridică pentru a evalua potențiale situații de discriminare și pentru a analiza hotărâri ale Consiliului Național pentru Combaterea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Discriminării (CNCD).</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O5: Utilizarea conceptelor si teoriilor din domeniul protecției minorităților pentru a identifica, analiza și explica fenomene specifice actuale, de la nivel mondial, european și național.</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Nu este cazul.</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Disciplina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Națiuni și minorități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vizează următoarele competențe profesionale specifice programului de studiu:</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(C1):</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Utilizarea conceptelor teoretice și juridice fundamentale din domeniul protecției minorităților naționale pentru a explica fenomene istorice și contemporane conexe temei diversității identitare;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(C2):</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Utilizarea metodologiei de analiză a textelor juridice: convenții și tratate în domeni;u; legislație internă; jurisprudență CNCD;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(C3):</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Utilizarea teoriilor studiate pentru a integra tematici specifice protecției minorităților în elaborarea politicilor publice.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(C4):</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Susținerea și promovarea valorilor democratice.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pPr>
      <w:r w:rsidDel="00000000" w:rsidR="00000000" w:rsidRPr="00000000">
        <w:rPr>
          <w:rtl w:val="0"/>
        </w:rPr>
      </w:r>
    </w:p>
    <w:sdt>
      <w:sdtPr>
        <w:lock w:val="contentLocked"/>
        <w:id w:val="143309463"/>
        <w:tag w:val="goog_rdk_0"/>
      </w:sdtPr>
      <w:sdtContent>
        <w:tbl>
          <w:tblPr>
            <w:tblStyle w:val="Table2"/>
            <w:tblW w:w="90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6"/>
            <w:tblGridChange w:id="0">
              <w:tblGrid>
                <w:gridCol w:w="906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76" w:lineRule="auto"/>
                  <w:jc w:val="both"/>
                  <w:rPr/>
                </w:pPr>
                <w:r w:rsidDel="00000000" w:rsidR="00000000" w:rsidRPr="00000000">
                  <w:rPr>
                    <w:rtl w:val="0"/>
                  </w:rPr>
                  <w:t xml:space="preserve">Elaborarea fişei disciplinei Antidiscriminare, Multiculturalism și Protecția Minorităților a avut loc în urma discutării conţinutului disciplinei şi a cerinţelor practice cu specialişti şi practicieni din domeniu, dar şi pornind de la competenţele profesionale cerute de piaţa muncii.</w:t>
                </w:r>
              </w:p>
            </w:tc>
          </w:tr>
        </w:tbl>
      </w:sdtContent>
    </w:sdt>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pPr>
      <w:r w:rsidDel="00000000" w:rsidR="00000000" w:rsidRPr="00000000">
        <w:rPr>
          <w:rtl w:val="0"/>
        </w:rPr>
      </w:r>
    </w:p>
    <w:sdt>
      <w:sdtPr>
        <w:lock w:val="contentLocked"/>
        <w:id w:val="884385378"/>
        <w:tag w:val="goog_rdk_1"/>
      </w:sdtPr>
      <w:sdtContent>
        <w:tbl>
          <w:tblPr>
            <w:tblStyle w:val="Table3"/>
            <w:tblW w:w="90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6"/>
            <w:tblGridChange w:id="0">
              <w:tblGrid>
                <w:gridCol w:w="906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line="276" w:lineRule="auto"/>
                  <w:jc w:val="both"/>
                  <w:rPr>
                    <w:b w:val="1"/>
                    <w:bCs w:val="1"/>
                  </w:rPr>
                </w:pPr>
                <w:r w:rsidDel="00000000" w:rsidR="00000000" w:rsidRPr="00000000">
                  <w:rPr>
                    <w:b w:val="1"/>
                    <w:bCs w:val="1"/>
                    <w:rtl w:val="0"/>
                  </w:rPr>
                  <w:t xml:space="preserve">Rezultatele învățării</w:t>
                </w:r>
              </w:p>
              <w:p w:rsidR="00000000" w:rsidDel="00000000" w:rsidP="00000000" w:rsidRDefault="00000000" w:rsidRPr="00000000" w14:paraId="0000003E">
                <w:pPr>
                  <w:spacing w:line="276" w:lineRule="auto"/>
                  <w:jc w:val="both"/>
                  <w:rPr>
                    <w:b w:val="1"/>
                    <w:bCs w:val="1"/>
                  </w:rPr>
                </w:pPr>
                <w:r w:rsidDel="00000000" w:rsidR="00000000" w:rsidRPr="00000000">
                  <w:rPr>
                    <w:b w:val="1"/>
                    <w:bCs w:val="1"/>
                    <w:rtl w:val="0"/>
                  </w:rPr>
                  <w:t xml:space="preserve">Cunoștințe </w:t>
                </w:r>
              </w:p>
              <w:p w:rsidR="00000000" w:rsidDel="00000000" w:rsidP="00000000" w:rsidRDefault="00000000" w:rsidRPr="00000000" w14:paraId="0000003F">
                <w:pPr>
                  <w:spacing w:line="276" w:lineRule="auto"/>
                  <w:jc w:val="both"/>
                  <w:rPr/>
                </w:pPr>
                <w:r w:rsidDel="00000000" w:rsidR="00000000" w:rsidRPr="00000000">
                  <w:rPr>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0">
                <w:pPr>
                  <w:spacing w:line="276" w:lineRule="auto"/>
                  <w:jc w:val="both"/>
                  <w:rPr/>
                </w:pPr>
                <w:r w:rsidDel="00000000" w:rsidR="00000000" w:rsidRPr="00000000">
                  <w:rPr>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41">
                <w:pPr>
                  <w:spacing w:line="276" w:lineRule="auto"/>
                  <w:jc w:val="both"/>
                  <w:rPr/>
                </w:pPr>
                <w:r w:rsidDel="00000000" w:rsidR="00000000" w:rsidRPr="00000000">
                  <w:rPr>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42">
                <w:pPr>
                  <w:spacing w:line="276" w:lineRule="auto"/>
                  <w:jc w:val="both"/>
                  <w:rPr/>
                </w:pPr>
                <w:r w:rsidDel="00000000" w:rsidR="00000000" w:rsidRPr="00000000">
                  <w:rPr>
                    <w:rtl w:val="0"/>
                  </w:rPr>
                </w:r>
              </w:p>
              <w:p w:rsidR="00000000" w:rsidDel="00000000" w:rsidP="00000000" w:rsidRDefault="00000000" w:rsidRPr="00000000" w14:paraId="00000043">
                <w:pPr>
                  <w:spacing w:line="276" w:lineRule="auto"/>
                  <w:jc w:val="both"/>
                  <w:rPr>
                    <w:b w:val="1"/>
                    <w:bCs w:val="1"/>
                  </w:rPr>
                </w:pPr>
                <w:r w:rsidDel="00000000" w:rsidR="00000000" w:rsidRPr="00000000">
                  <w:rPr>
                    <w:b w:val="1"/>
                    <w:bCs w:val="1"/>
                    <w:rtl w:val="0"/>
                  </w:rPr>
                  <w:t xml:space="preserve">Aptitudini </w:t>
                </w:r>
              </w:p>
              <w:p w:rsidR="00000000" w:rsidDel="00000000" w:rsidP="00000000" w:rsidRDefault="00000000" w:rsidRPr="00000000" w14:paraId="00000044">
                <w:pPr>
                  <w:spacing w:line="276" w:lineRule="auto"/>
                  <w:jc w:val="both"/>
                  <w:rPr/>
                </w:pPr>
                <w:r w:rsidDel="00000000" w:rsidR="00000000" w:rsidRPr="00000000">
                  <w:rPr>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5">
                <w:pPr>
                  <w:spacing w:line="276" w:lineRule="auto"/>
                  <w:jc w:val="both"/>
                  <w:rPr/>
                </w:pPr>
                <w:r w:rsidDel="00000000" w:rsidR="00000000" w:rsidRPr="00000000">
                  <w:rPr>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6">
                <w:pPr>
                  <w:spacing w:line="276" w:lineRule="auto"/>
                  <w:jc w:val="both"/>
                  <w:rPr/>
                </w:pPr>
                <w:r w:rsidDel="00000000" w:rsidR="00000000" w:rsidRPr="00000000">
                  <w:rPr>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7">
                <w:pPr>
                  <w:spacing w:line="276" w:lineRule="auto"/>
                  <w:jc w:val="both"/>
                  <w:rPr/>
                </w:pPr>
                <w:r w:rsidDel="00000000" w:rsidR="00000000" w:rsidRPr="00000000">
                  <w:rPr>
                    <w:rtl w:val="0"/>
                  </w:rPr>
                </w:r>
              </w:p>
              <w:p w:rsidR="00000000" w:rsidDel="00000000" w:rsidP="00000000" w:rsidRDefault="00000000" w:rsidRPr="00000000" w14:paraId="00000048">
                <w:pPr>
                  <w:spacing w:line="276" w:lineRule="auto"/>
                  <w:jc w:val="both"/>
                  <w:rPr>
                    <w:b w:val="1"/>
                    <w:bCs w:val="1"/>
                  </w:rPr>
                </w:pPr>
                <w:r w:rsidDel="00000000" w:rsidR="00000000" w:rsidRPr="00000000">
                  <w:rPr>
                    <w:b w:val="1"/>
                    <w:bCs w:val="1"/>
                    <w:rtl w:val="0"/>
                  </w:rPr>
                  <w:t xml:space="preserve">Responsabilitate și autonomie</w:t>
                </w:r>
              </w:p>
              <w:p w:rsidR="00000000" w:rsidDel="00000000" w:rsidP="00000000" w:rsidRDefault="00000000" w:rsidRPr="00000000" w14:paraId="00000049">
                <w:pPr>
                  <w:spacing w:line="276" w:lineRule="auto"/>
                  <w:jc w:val="both"/>
                  <w:rPr/>
                </w:pPr>
                <w:r w:rsidDel="00000000" w:rsidR="00000000" w:rsidRPr="00000000">
                  <w:rPr>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A">
                <w:pPr>
                  <w:spacing w:line="276" w:lineRule="auto"/>
                  <w:jc w:val="both"/>
                  <w:rPr/>
                </w:pPr>
                <w:r w:rsidDel="00000000" w:rsidR="00000000" w:rsidRPr="00000000">
                  <w:rPr>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4B">
                <w:pPr>
                  <w:spacing w:line="276" w:lineRule="auto"/>
                  <w:jc w:val="both"/>
                  <w:rPr/>
                </w:pPr>
                <w:r w:rsidDel="00000000" w:rsidR="00000000" w:rsidRPr="00000000">
                  <w:rPr>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p>
            </w:tc>
          </w:tr>
        </w:tbl>
      </w:sdtContent>
    </w:sdt>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00" w:right="0" w:hanging="36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Curs </w:t>
      </w:r>
    </w:p>
    <w:tbl>
      <w:tblPr>
        <w:tblStyle w:val="Table4"/>
        <w:tblW w:w="8943.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910"/>
        <w:gridCol w:w="2701"/>
        <w:gridCol w:w="4451"/>
        <w:gridCol w:w="881"/>
        <w:tblGridChange w:id="0">
          <w:tblGrid>
            <w:gridCol w:w="910"/>
            <w:gridCol w:w="2701"/>
            <w:gridCol w:w="4451"/>
            <w:gridCol w:w="881"/>
          </w:tblGrid>
        </w:tblGridChange>
      </w:tblGrid>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Denumire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Conținuturi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Nr. ore</w:t>
            </w:r>
            <w:r w:rsidDel="00000000" w:rsidR="00000000" w:rsidRPr="00000000">
              <w:rPr>
                <w:rtl w:val="0"/>
              </w:rPr>
            </w:r>
          </w:p>
        </w:tc>
      </w:tr>
      <w:tr>
        <w:trPr>
          <w:cantSplit w:val="0"/>
          <w:trHeight w:val="65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 introductiv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Prezentarea disciplinei, a regulilor și a principalelor teme abordate.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SI=0</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9">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1: Standarde și sisteme de protecție a minorităților</w:t>
            </w:r>
            <w:r w:rsidDel="00000000" w:rsidR="00000000" w:rsidRPr="00000000">
              <w:rPr>
                <w:rtl w:val="0"/>
              </w:rPr>
            </w:r>
          </w:p>
        </w:tc>
      </w:tr>
      <w:tr>
        <w:trPr>
          <w:cantSplit w:val="0"/>
          <w:trHeight w:val="236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Fundamente teoretice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vizează introducerea unor concepte fundamentale: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popoare indigene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minorități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istorice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noile minorități rezultate din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migrație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stat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popor</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națiune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minoritate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diferența între națiune în</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 sens etnic</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și națiune în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sens civic</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națiuni 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naționalisme; drepturi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individuale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 colective.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1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Importanța protecției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minorităților. Atitudini și acțiuni ostile la adresa diversității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explică de ce este importantă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existența unor norme, instituții și sisteme de protecție a minorităților în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prevenirea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atitudinilor ostile față de acestea și membrii lor.  </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99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Evoluția sistemelor de protecție a minorităților naționale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prezintă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istoria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evoluției sistemelor de protecție a minorităților.</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98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internațional al protecției minorităților naționale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prezintă principalele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tratate internaționale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din sfera protecției minorităților.</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407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Standarde si principii de drept internațional aplicabile protecției minorităților naționale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explică: 1) principii și standarde privind protecția minorităților; 2) drepturi specifice ale membrilor minorităților naționale și conținutul acestor drepturi</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analizează în special prevederile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Convenției-cadru pentru protecția minorităților naționale.</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E">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2: Teme generale majore din domeniul protecției minorităților naționale</w:t>
            </w:r>
            <w:r w:rsidDel="00000000" w:rsidR="00000000" w:rsidRPr="00000000">
              <w:rPr>
                <w:rtl w:val="0"/>
              </w:rPr>
            </w:r>
          </w:p>
        </w:tc>
      </w:tr>
      <w:tr>
        <w:trPr>
          <w:cantSplit w:val="0"/>
          <w:trHeight w:val="108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Autonomiile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prezintă diferențele dintre autonomia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teritorială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autonomia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personală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culturală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regiuni autonome cu statut specia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167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Măsuri afirmative și politici publice echitabile. Drepturi lingvistice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are două obiective: 1) prezintă și dezbate conceptul de măsură afirmativă din perspectiva politicilor publice; 2) analizează tema drepturilor lingvistice, pe baza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Cartei limbilor regionale.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28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Prevenirea și combaterea discriminării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are 3 obiective: 1) explică diferența dintre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discriminare directă, discriminare indirectă, discriminare multiplă (și</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intersecțională), hărțuire, victimizare;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analizează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Ordonanța Guvernului nr. 137/2000 privind combaterea discriminării;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prezintă activitatea Consiliului Național pentru Combaterea Discriminării ( CNCD).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113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Cum se redactează o petiție către CNCD?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explică elementele care trebuie incluse într-o petiție adresată CNCD, precum condițiile de formă și de fond ale acesteia.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8">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3: Teme actuale privind protecția minorităților naționale în Uniunea Europeană și România</w:t>
            </w:r>
            <w:r w:rsidDel="00000000" w:rsidR="00000000" w:rsidRPr="00000000">
              <w:rPr>
                <w:rtl w:val="0"/>
              </w:rPr>
            </w:r>
          </w:p>
        </w:tc>
      </w:tr>
      <w:tr>
        <w:trPr>
          <w:cantSplit w:val="0"/>
          <w:trHeight w:val="202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Forme persistente de ostilitate la adresa diversității în Uniunea Europeană.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analizează rapoarte recente ale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Agenției pentru drepturi fundamentale a Uniunii Europene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privind rasismul,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antisemitismul, romafobia, islamofobia etc.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201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Drepturile imigranților, refugiaților și solicitanților de azil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explică diferențe conceptuale fundamentale și analizează rapoarte recente ale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Agenției pentru drepturi fundamentale a Uniunii Europene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privind situația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imigranților, refugiaților și solicitanților de azil în Uniunea Europeană.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202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Majorități și drepturi: abordări liberale și populiste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analizează și dezbate: 1) conceptul de ‘majoritate’; 2) discursul ‘drepturilor majorităților’; 3) versiunea populistă și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versiunea liberală a acestui tip de discurs și implicațiile acestora.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202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Situația actuală a minorităților în România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are prezintă și analizează: 1) rapoarte recente privind statutul minorităților naționale în România; 2) rapoarte recente privind statutul noilor minorități rezultate din migrație, în România.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992" w:hRule="atLeast"/>
          <w:tblHeader w:val="0"/>
        </w:trPr>
        <w:tc>
          <w:tcPr>
            <w:tcBorders>
              <w:top w:color="000000" w:space="0" w:sz="4" w:val="single"/>
              <w:left w:color="000000" w:space="0" w:sz="0" w:val="nil"/>
              <w:bottom w:color="000000" w:space="0" w:sz="0" w:val="nil"/>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Total 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C=28,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SI=47</w:t>
            </w:r>
            <w:r w:rsidDel="00000000" w:rsidR="00000000" w:rsidRPr="00000000">
              <w:rPr>
                <w:rtl w:val="0"/>
              </w:rPr>
            </w:r>
          </w:p>
        </w:tc>
      </w:tr>
    </w:tbl>
    <w:p w:rsidR="00000000" w:rsidDel="00000000" w:rsidP="00000000" w:rsidRDefault="00000000" w:rsidRPr="00000000" w14:paraId="000000B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00" w:before="0" w:line="240" w:lineRule="auto"/>
        <w:ind w:left="508" w:right="0" w:hanging="468"/>
        <w:jc w:val="left"/>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00" w:right="0" w:hanging="36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Seminare</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tbl>
      <w:tblPr>
        <w:tblStyle w:val="Table5"/>
        <w:tblW w:w="8943.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077"/>
        <w:gridCol w:w="2986"/>
        <w:gridCol w:w="3938"/>
        <w:gridCol w:w="942"/>
        <w:tblGridChange w:id="0">
          <w:tblGrid>
            <w:gridCol w:w="1077"/>
            <w:gridCol w:w="2986"/>
            <w:gridCol w:w="3938"/>
            <w:gridCol w:w="942"/>
          </w:tblGrid>
        </w:tblGridChange>
      </w:tblGrid>
      <w:tr>
        <w:trPr>
          <w:cantSplit w:val="0"/>
          <w:trHeight w:val="65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Seminar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Denumire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Conținuturi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Nr. ore</w:t>
            </w:r>
            <w:r w:rsidDel="00000000" w:rsidR="00000000" w:rsidRPr="00000000">
              <w:rPr>
                <w:rtl w:val="0"/>
              </w:rPr>
            </w:r>
          </w:p>
        </w:tc>
      </w:tr>
      <w:tr>
        <w:trPr>
          <w:cantSplit w:val="0"/>
          <w:trHeight w:val="65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 introductiv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Prezentarea regulilor de seminar, a textelor de discutat si a temelor acestora.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SI=0</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5">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1: Teorii ale diversității culturale</w:t>
            </w:r>
            <w:r w:rsidDel="00000000" w:rsidR="00000000" w:rsidRPr="00000000">
              <w:rPr>
                <w:rtl w:val="0"/>
              </w:rPr>
            </w:r>
          </w:p>
        </w:tc>
      </w:tr>
      <w:tr>
        <w:trPr>
          <w:cantSplit w:val="0"/>
          <w:trHeight w:val="168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Națiuni și naționalisme în istoria europeană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parcurgerea a 3 texte care prezintă conceptele de națiune și minoritate, pornind de la o dezbatere pe tema naționalismului în istoria Europei.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168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Studiu de caz privind genocidului armean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are două obiective: 1) analiza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Convenției pentru prevenirea și combaterea crimei de genocid</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 realizarea unui studiu de caz privind genocidul armean, pe baza unei proiecții de film.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99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Studiu de caz privind Holocaustul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urmărește realizarea studiu de caz privind Holocaustul, pe baza unei proiecții de film.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99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Studiu de caz privind genocidul din Rwanda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urmărește realizarea  studiu de caz privind genocidul din Rwanda, pe baza unei proiecții de film.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168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Statutul minorităților naționale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are două obiective: 1) analiza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Convenției-cadru pentru protecția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minorităților naționale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 realizarea unui studiu de caz privind statutul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minorităților naționale în România.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4">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2: Teme generale majore din sfera protecției minorităților naționale</w:t>
            </w:r>
            <w:r w:rsidDel="00000000" w:rsidR="00000000" w:rsidRPr="00000000">
              <w:rPr>
                <w:rtl w:val="0"/>
              </w:rPr>
            </w:r>
          </w:p>
        </w:tc>
      </w:tr>
      <w:tr>
        <w:trPr>
          <w:cantSplit w:val="0"/>
          <w:trHeight w:val="202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Autonomiile (partea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86"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parcurgerea unor studii de caz privind situația specifică a unor regiuni autonome cu statut special. Studiile de caz sunt pregătite de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86"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studenți.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237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Autonomiile (partea a II-a)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86"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continuă parcurgerea unor studii de caz privind situația specifică a unor regiuni autonome cu statut special. Studiile de caz sunt pregătite de </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86"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studenți.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113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Combaterea discriminării (partea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analiza de către studenți a unor hotărâri CNCD privind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criteriul rasial, etnic și religios.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120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Combaterea discriminării (partea a II-a)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analiza de către studenți a unor hotărâri CNCD privind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criteriile de sex și de gen.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271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Combaterea discriminării (partea a III-a)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analiza de către studenți a unor hotărâri CNCD privind </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discriminarea directă, indirectă, multiplă, hărțuire și victimizare. Totodată, studenții vor redacta o petiție fictivă către CNCD.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6">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3: Teme actuale privind protecția minorităților naționale în Uniunea Europeană și România</w:t>
            </w:r>
            <w:r w:rsidDel="00000000" w:rsidR="00000000" w:rsidRPr="00000000">
              <w:rPr>
                <w:rtl w:val="0"/>
              </w:rPr>
            </w:r>
          </w:p>
        </w:tc>
      </w:tr>
      <w:tr>
        <w:trPr>
          <w:cantSplit w:val="0"/>
          <w:trHeight w:val="168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Drepturile imigranților, refugiaților și solicitanților de azil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analizează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Legea nr. 122/2006 privind azilul în România.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237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Majorități și drepturi: abordări liberale și populiste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urmărește analizarea unui text care dezbate problema majorităților. Pe baza acestui text, va fi organizată o și o dezbatere cu studenții.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305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20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20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Situația actuală a minorităților în România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va include: 1) o scurtă recapitulare a principalelor teme discutate pe parcursul cursurilor și seminarelor; 2) concluzii privind situația actuală a minorităților din România pe baza acestora. Concluziile finale vor fi trasate de studenți.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SI=2h</w:t>
            </w:r>
            <w:r w:rsidDel="00000000" w:rsidR="00000000" w:rsidRPr="00000000">
              <w:rPr>
                <w:rtl w:val="0"/>
              </w:rPr>
            </w:r>
          </w:p>
        </w:tc>
      </w:tr>
      <w:tr>
        <w:trPr>
          <w:cantSplit w:val="0"/>
          <w:trHeight w:val="997" w:hRule="atLeast"/>
          <w:tblHeader w:val="0"/>
        </w:trPr>
        <w:tc>
          <w:tcPr>
            <w:tcBorders>
              <w:top w:color="000000" w:space="0" w:sz="4" w:val="single"/>
              <w:left w:color="000000" w:space="0" w:sz="0" w:val="nil"/>
              <w:bottom w:color="000000" w:space="0" w:sz="0" w:val="nil"/>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Total 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S=28h</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SI=47</w:t>
            </w:r>
            <w:r w:rsidDel="00000000" w:rsidR="00000000" w:rsidRPr="00000000">
              <w:rPr>
                <w:rtl w:val="0"/>
              </w:rPr>
            </w:r>
          </w:p>
        </w:tc>
      </w:tr>
    </w:tbl>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 w:right="0" w:hanging="108"/>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EVALUARE</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Forme de evaluare si pondere:</w:t>
      </w:r>
    </w:p>
    <w:tbl>
      <w:tblPr>
        <w:tblStyle w:val="Table6"/>
        <w:tblW w:w="9747.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3265"/>
        <w:gridCol w:w="3234"/>
        <w:gridCol w:w="3248"/>
        <w:tblGridChange w:id="0">
          <w:tblGrid>
            <w:gridCol w:w="3265"/>
            <w:gridCol w:w="3234"/>
            <w:gridCol w:w="3248"/>
          </w:tblGrid>
        </w:tblGridChange>
      </w:tblGrid>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Componente disciplină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Forme de evaluare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Pondere</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Finală (examen)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50%</w:t>
            </w:r>
            <w:r w:rsidDel="00000000" w:rsidR="00000000" w:rsidRPr="00000000">
              <w:rPr>
                <w:rtl w:val="0"/>
              </w:rPr>
            </w:r>
          </w:p>
        </w:tc>
      </w:tr>
      <w:tr>
        <w:trPr>
          <w:cantSplit w:val="0"/>
          <w:trHeight w:val="7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Continuă (prezentări de seminar; referat; test)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50%</w:t>
            </w:r>
            <w:r w:rsidDel="00000000" w:rsidR="00000000" w:rsidRPr="00000000">
              <w:rPr>
                <w:rtl w:val="0"/>
              </w:rPr>
            </w:r>
          </w:p>
        </w:tc>
      </w:tr>
    </w:tbl>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108" w:right="0" w:hanging="108"/>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 Standarde de performanță raportate la competențe:</w:t>
      </w:r>
    </w:p>
    <w:tbl>
      <w:tblPr>
        <w:tblStyle w:val="Table7"/>
        <w:tblW w:w="9781.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2410"/>
        <w:gridCol w:w="7371"/>
        <w:tblGridChange w:id="0">
          <w:tblGrid>
            <w:gridCol w:w="2410"/>
            <w:gridCol w:w="7371"/>
          </w:tblGrid>
        </w:tblGridChange>
      </w:tblGrid>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Tip standard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Descriere standard</w:t>
            </w:r>
            <w:r w:rsidDel="00000000" w:rsidR="00000000" w:rsidRPr="00000000">
              <w:rPr>
                <w:rtl w:val="0"/>
              </w:rPr>
            </w:r>
          </w:p>
        </w:tc>
      </w:tr>
      <w:tr>
        <w:trPr>
          <w:cantSplit w:val="0"/>
          <w:trHeight w:val="563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Minim (media 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În raport cu fiecare din cele 3 module din care este alcătuită disciplina:</w:t>
            </w:r>
          </w:p>
          <w:p w:rsidR="00000000" w:rsidDel="00000000" w:rsidP="00000000" w:rsidRDefault="00000000" w:rsidRPr="00000000" w14:paraId="000001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89" w:right="0" w:hanging="18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Înțelegerea și utilizarea adecvată a unor noțiuni de bază precum: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minorități naționale, noile minorități rezultate din migrație, refugiat, imigrant, solicitant de azil, popoare indigene, națiune, stat, autonomie teritorială, autonomie culturală, regiune specială cu statut autonom, măsuri afirmative, drepturi individuale, drepturi colective, statutul minorităților naționale, discriminare directă, discriminare indirectă, hățuire, victimizare, genocid, etnocid.</w:t>
            </w:r>
            <w:r w:rsidDel="00000000" w:rsidR="00000000" w:rsidRPr="00000000">
              <w:rPr>
                <w:rtl w:val="0"/>
              </w:rPr>
            </w:r>
          </w:p>
          <w:p w:rsidR="00000000" w:rsidDel="00000000" w:rsidP="00000000" w:rsidRDefault="00000000" w:rsidRPr="00000000" w14:paraId="000001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89" w:right="0" w:hanging="18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Cunoașterea evoluției și importanței unor sisteme de protecție a minorităților.</w:t>
            </w:r>
          </w:p>
          <w:p w:rsidR="00000000" w:rsidDel="00000000" w:rsidP="00000000" w:rsidRDefault="00000000" w:rsidRPr="00000000" w14:paraId="000001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89" w:right="0" w:hanging="18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Cunoașterea principalelor tratate internaționale și norme juridice interne privind protecția minorităților.</w:t>
            </w:r>
          </w:p>
        </w:tc>
      </w:tr>
      <w:tr>
        <w:trPr>
          <w:cantSplit w:val="0"/>
          <w:trHeight w:val="431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Maxim (media 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În raport cu fiecare din cele 3 module din care este alcătuită disciplina:</w:t>
            </w:r>
          </w:p>
          <w:p w:rsidR="00000000" w:rsidDel="00000000" w:rsidP="00000000" w:rsidRDefault="00000000" w:rsidRPr="00000000" w14:paraId="000001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89" w:right="0" w:hanging="18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Capacitatea de a utiliza în mod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corelat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conceptele și teoriile fundamentale, în explicarea unor studii de caz aprofundate, precum și în analiza normelor, politicilor și jurisprudenței relevante.</w:t>
            </w:r>
          </w:p>
          <w:p w:rsidR="00000000" w:rsidDel="00000000" w:rsidP="00000000" w:rsidRDefault="00000000" w:rsidRPr="00000000" w14:paraId="0000013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89" w:right="0" w:hanging="18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Capacitatea de a analiza cazuri de discriminare și de a redacta o petiție fictivă către CNCD, cu respectarea tuturor condițiilor de formă și de fond.</w:t>
            </w:r>
          </w:p>
          <w:p w:rsidR="00000000" w:rsidDel="00000000" w:rsidP="00000000" w:rsidRDefault="00000000" w:rsidRPr="00000000" w14:paraId="000001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89" w:right="0" w:hanging="18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Explicarea argumentată a unor situații actuale, pe baza conceptelor și teoriilor studiate.</w:t>
            </w:r>
          </w:p>
        </w:tc>
      </w:tr>
    </w:tbl>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108" w:right="0" w:hanging="108"/>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REPERE METODOLOGICE</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Strategia didactică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folosită în cadrul disciplinei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Națiuni și minorități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 bazează pe complementaritatea dintre teorie și practică. Toate abordările teoretice și conceptele discutate la curs sunt completate cu studii de caz la seminar, cu analize de legislație, jurisprudență și politici. Disciplina are un profund caracter interdisciplinar. Din acest motiv, cadrul didactic (titular de curs și seminar) prezintă informațiile într-un format adaptat nivelului actual de înțelegere al studenților/studentelor. O atenție deosebită este acordată dezvoltării capacității de analiză, sinteză, selectare și structurare a informațiilor. Totodată, abordarea didactică are la bază exercițiul dezbaterii și fundamente constructiviste, în sensul că studenții acumulează cunoștințe noi, folosind ceea ce știu deja. </w:t>
      </w: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 Materiale și Resurse didactice:</w:t>
      </w:r>
    </w:p>
    <w:tbl>
      <w:tblPr>
        <w:tblStyle w:val="Table8"/>
        <w:tblW w:w="9747.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753"/>
        <w:gridCol w:w="8994"/>
        <w:tblGridChange w:id="0">
          <w:tblGrid>
            <w:gridCol w:w="753"/>
            <w:gridCol w:w="8994"/>
          </w:tblGrid>
        </w:tblGridChange>
      </w:tblGrid>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Nume material/resursă didactică</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Resurse online;</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Materiale in format tipărit si materiale video privind procesele studiate;</w:t>
            </w: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Jurisprudența CNCD.</w:t>
            </w:r>
          </w:p>
        </w:tc>
      </w:tr>
    </w:tbl>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108" w:right="0" w:hanging="108"/>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G. BIBLIOGRAFIE</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tl w:val="0"/>
        </w:rPr>
      </w:r>
    </w:p>
    <w:tbl>
      <w:tblPr>
        <w:tblStyle w:val="Table9"/>
        <w:tblW w:w="8943.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429"/>
        <w:gridCol w:w="2727"/>
        <w:gridCol w:w="3059"/>
        <w:gridCol w:w="2728"/>
        <w:tblGridChange w:id="0">
          <w:tblGrid>
            <w:gridCol w:w="429"/>
            <w:gridCol w:w="2727"/>
            <w:gridCol w:w="3059"/>
            <w:gridCol w:w="2728"/>
          </w:tblGrid>
        </w:tblGridChange>
      </w:tblGrid>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Autor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Titlul lucrării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Editură/ jurnal/an</w:t>
            </w:r>
            <w:r w:rsidDel="00000000" w:rsidR="00000000" w:rsidRPr="00000000">
              <w:rPr>
                <w:rtl w:val="0"/>
              </w:rPr>
            </w:r>
          </w:p>
        </w:tc>
      </w:tr>
      <w:tr>
        <w:trPr>
          <w:cantSplit w:val="0"/>
          <w:trHeight w:val="63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Gellner, 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Națiuni și naționalisme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Editura Antet, 1997</w:t>
            </w:r>
            <w:r w:rsidDel="00000000" w:rsidR="00000000" w:rsidRPr="00000000">
              <w:rPr>
                <w:rtl w:val="0"/>
              </w:rPr>
            </w:r>
          </w:p>
        </w:tc>
      </w:tr>
      <w:tr>
        <w:trPr>
          <w:cantSplit w:val="0"/>
          <w:trHeight w:val="88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w:t>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70"/>
              </w:tabs>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Schultze, H.</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Stat și națiune în istoria europeană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Editura Nemira, 2010</w:t>
            </w:r>
            <w:r w:rsidDel="00000000" w:rsidR="00000000" w:rsidRPr="00000000">
              <w:rPr>
                <w:rtl w:val="0"/>
              </w:rPr>
            </w:r>
          </w:p>
        </w:tc>
      </w:tr>
      <w:tr>
        <w:trPr>
          <w:cantSplit w:val="0"/>
          <w:trHeight w:val="76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70"/>
              </w:tabs>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Ternon, 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Statul criminal. Genocidurile secolului XX.</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Editura Institutul European, 2002</w:t>
            </w:r>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Andreescu, 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Națiuni și minorități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Editura Polirom, 2004</w:t>
            </w:r>
            <w:r w:rsidDel="00000000" w:rsidR="00000000" w:rsidRPr="00000000">
              <w:rPr>
                <w:rtl w:val="0"/>
              </w:rPr>
            </w:r>
          </w:p>
        </w:tc>
      </w:tr>
      <w:tr>
        <w:trPr>
          <w:cantSplit w:val="0"/>
          <w:trHeight w:val="994"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Prisăcaru, 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Statutul juridic al minorităților naționale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Editura C.H.Beck, 2011</w:t>
            </w:r>
            <w:r w:rsidDel="00000000" w:rsidR="00000000" w:rsidRPr="00000000">
              <w:rPr>
                <w:rtl w:val="0"/>
              </w:rPr>
            </w:r>
          </w:p>
        </w:tc>
      </w:tr>
      <w:tr>
        <w:trPr>
          <w:cantSplit w:val="0"/>
          <w:trHeight w:val="76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Andreescu, 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Schimbări în harta etnică a României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Editura CRDE, 2005</w:t>
            </w:r>
            <w:r w:rsidDel="00000000" w:rsidR="00000000" w:rsidRPr="00000000">
              <w:rPr>
                <w:rtl w:val="0"/>
              </w:rPr>
            </w:r>
          </w:p>
        </w:tc>
      </w:tr>
      <w:tr>
        <w:trPr>
          <w:cantSplit w:val="0"/>
          <w:trHeight w:val="119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Anderson, B.</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Imagined Communities. Reflections on the Origins and Spread of Nationalism.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Verso, 2006</w:t>
            </w:r>
            <w:r w:rsidDel="00000000" w:rsidR="00000000" w:rsidRPr="00000000">
              <w:rPr>
                <w:rtl w:val="0"/>
              </w:rPr>
            </w:r>
          </w:p>
        </w:tc>
      </w:tr>
      <w:tr>
        <w:trPr>
          <w:cantSplit w:val="0"/>
          <w:trHeight w:val="164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Benedikter, 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The World’s Working Regional Autonomies: An Introduction and Comparative Analysis.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EURAC, 2007</w:t>
            </w:r>
            <w:r w:rsidDel="00000000" w:rsidR="00000000" w:rsidRPr="00000000">
              <w:rPr>
                <w:rtl w:val="0"/>
              </w:rPr>
            </w:r>
          </w:p>
        </w:tc>
      </w:tr>
      <w:tr>
        <w:trPr>
          <w:cantSplit w:val="0"/>
          <w:trHeight w:val="2084"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Marko, J. Și Constantin, 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Human and Minority Rights Protection by Multiple Diversity Governance. History, Law, Ideology and Politics in European Perspective.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Routledge, 2019</w:t>
            </w:r>
            <w:r w:rsidDel="00000000" w:rsidR="00000000" w:rsidRPr="00000000">
              <w:rPr>
                <w:rtl w:val="0"/>
              </w:rPr>
            </w:r>
          </w:p>
        </w:tc>
      </w:tr>
      <w:tr>
        <w:trPr>
          <w:cantSplit w:val="0"/>
          <w:trHeight w:val="119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Orgad, Liav</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The Cultural Defense of Nations. A liberal Theory of Majority Rights.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Oxford University Press, 2015</w:t>
            </w:r>
            <w:r w:rsidDel="00000000" w:rsidR="00000000" w:rsidRPr="00000000">
              <w:rPr>
                <w:rtl w:val="0"/>
              </w:rPr>
            </w:r>
          </w:p>
        </w:tc>
      </w:tr>
    </w:tbl>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108" w:right="0" w:hanging="108"/>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79">
      <w:pPr>
        <w:spacing w:after="200" w:line="276" w:lineRule="auto"/>
        <w:rPr>
          <w:color w:val="000000"/>
          <w:sz w:val="22"/>
          <w:szCs w:val="22"/>
          <w:u w:val="none"/>
        </w:rPr>
      </w:pPr>
      <w:r w:rsidDel="00000000" w:rsidR="00000000" w:rsidRPr="00000000">
        <w:rPr>
          <w:b w:val="1"/>
          <w:bCs w:val="1"/>
          <w:color w:val="000000"/>
          <w:sz w:val="22"/>
          <w:szCs w:val="22"/>
          <w:u w:val="none"/>
          <w:rtl w:val="0"/>
        </w:rPr>
        <w:t xml:space="preserve">DIRECTOR DEPARTAMENT,                                                       TITULAR DE DISCIPLINĂ, </w:t>
      </w:r>
      <w:r w:rsidDel="00000000" w:rsidR="00000000" w:rsidRPr="00000000">
        <w:rPr>
          <w:rtl w:val="0"/>
        </w:rPr>
      </w:r>
    </w:p>
    <w:p w:rsidR="00000000" w:rsidDel="00000000" w:rsidP="00000000" w:rsidRDefault="00000000" w:rsidRPr="00000000" w14:paraId="0000017A">
      <w:pPr>
        <w:spacing w:after="200" w:line="276" w:lineRule="auto"/>
        <w:rPr>
          <w:color w:val="000000"/>
          <w:sz w:val="22"/>
          <w:szCs w:val="22"/>
          <w:u w:val="none"/>
        </w:rPr>
      </w:pPr>
      <w:r w:rsidDel="00000000" w:rsidR="00000000" w:rsidRPr="00000000">
        <w:rPr>
          <w:sz w:val="22"/>
          <w:szCs w:val="22"/>
          <w:rtl w:val="0"/>
        </w:rPr>
        <w:t xml:space="preserve">Lect</w:t>
      </w:r>
      <w:r w:rsidDel="00000000" w:rsidR="00000000" w:rsidRPr="00000000">
        <w:rPr>
          <w:color w:val="000000"/>
          <w:sz w:val="22"/>
          <w:szCs w:val="22"/>
          <w:u w:val="none"/>
          <w:rtl w:val="0"/>
        </w:rPr>
        <w:t xml:space="preserve">. Univ. Dr. </w:t>
      </w:r>
      <w:r w:rsidDel="00000000" w:rsidR="00000000" w:rsidRPr="00000000">
        <w:rPr>
          <w:sz w:val="22"/>
          <w:szCs w:val="22"/>
          <w:rtl w:val="0"/>
        </w:rPr>
        <w:t xml:space="preserve">Claudiu Craciun</w:t>
      </w:r>
      <w:r w:rsidDel="00000000" w:rsidR="00000000" w:rsidRPr="00000000">
        <w:rPr>
          <w:color w:val="000000"/>
          <w:sz w:val="22"/>
          <w:szCs w:val="22"/>
          <w:u w:val="none"/>
          <w:rtl w:val="0"/>
        </w:rPr>
        <w:t xml:space="preserve">                                              Lect. Univ. Dr. Măriuca Oana Constantin</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i w:val="0"/>
          <w:iCs w:val="0"/>
          <w:smallCaps w:val="0"/>
          <w:strike w:val="0"/>
          <w:color w:val="000000"/>
          <w:sz w:val="24"/>
          <w:szCs w:val="24"/>
          <w:u w:val="none"/>
          <w:shd w:fill="auto" w:val="clear"/>
          <w:vertAlign w:val="baseline"/>
        </w:rPr>
      </w:pPr>
      <w:r w:rsidDel="00000000" w:rsidR="00000000" w:rsidRPr="00000000">
        <w:rPr>
          <w:b w:val="1"/>
          <w:bCs w:val="1"/>
          <w:i w:val="0"/>
          <w:iCs w:val="0"/>
          <w:smallCaps w:val="0"/>
          <w:strike w:val="0"/>
          <w:color w:val="000000"/>
          <w:sz w:val="22"/>
          <w:szCs w:val="22"/>
          <w:u w:val="none"/>
          <w:shd w:fill="auto" w:val="clear"/>
          <w:vertAlign w:val="baseline"/>
          <w:rtl w:val="0"/>
        </w:rPr>
        <w:t xml:space="preserve"> </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MS Mincho"/>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0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b w:val="1"/>
        <w:bCs w:val="1"/>
        <w:i w:val="1"/>
        <w:iCs w:val="1"/>
        <w:smallCaps w:val="0"/>
        <w:strike w:val="0"/>
        <w:shd w:fill="auto" w:val="clear"/>
        <w:vertAlign w:val="baseline"/>
      </w:rPr>
    </w:lvl>
    <w:lvl w:ilvl="1">
      <w:start w:val="1"/>
      <w:numFmt w:val="lowerLetter"/>
      <w:lvlText w:val="%2."/>
      <w:lvlJc w:val="left"/>
      <w:pPr>
        <w:ind w:left="1120" w:hanging="360"/>
      </w:pPr>
      <w:rPr>
        <w:b w:val="1"/>
        <w:bCs w:val="1"/>
        <w:i w:val="1"/>
        <w:iCs w:val="1"/>
        <w:smallCaps w:val="0"/>
        <w:strike w:val="0"/>
        <w:shd w:fill="auto" w:val="clear"/>
        <w:vertAlign w:val="baseline"/>
      </w:rPr>
    </w:lvl>
    <w:lvl w:ilvl="2">
      <w:start w:val="1"/>
      <w:numFmt w:val="lowerRoman"/>
      <w:lvlText w:val="%3."/>
      <w:lvlJc w:val="left"/>
      <w:pPr>
        <w:ind w:left="1840" w:hanging="300"/>
      </w:pPr>
      <w:rPr>
        <w:b w:val="1"/>
        <w:bCs w:val="1"/>
        <w:i w:val="1"/>
        <w:iCs w:val="1"/>
        <w:smallCaps w:val="0"/>
        <w:strike w:val="0"/>
        <w:shd w:fill="auto" w:val="clear"/>
        <w:vertAlign w:val="baseline"/>
      </w:rPr>
    </w:lvl>
    <w:lvl w:ilvl="3">
      <w:start w:val="1"/>
      <w:numFmt w:val="decimal"/>
      <w:lvlText w:val="%4."/>
      <w:lvlJc w:val="left"/>
      <w:pPr>
        <w:ind w:left="2560" w:hanging="360"/>
      </w:pPr>
      <w:rPr>
        <w:b w:val="1"/>
        <w:bCs w:val="1"/>
        <w:i w:val="1"/>
        <w:iCs w:val="1"/>
        <w:smallCaps w:val="0"/>
        <w:strike w:val="0"/>
        <w:shd w:fill="auto" w:val="clear"/>
        <w:vertAlign w:val="baseline"/>
      </w:rPr>
    </w:lvl>
    <w:lvl w:ilvl="4">
      <w:start w:val="1"/>
      <w:numFmt w:val="lowerLetter"/>
      <w:lvlText w:val="%5."/>
      <w:lvlJc w:val="left"/>
      <w:pPr>
        <w:ind w:left="3280" w:hanging="360"/>
      </w:pPr>
      <w:rPr>
        <w:b w:val="1"/>
        <w:bCs w:val="1"/>
        <w:i w:val="1"/>
        <w:iCs w:val="1"/>
        <w:smallCaps w:val="0"/>
        <w:strike w:val="0"/>
        <w:shd w:fill="auto" w:val="clear"/>
        <w:vertAlign w:val="baseline"/>
      </w:rPr>
    </w:lvl>
    <w:lvl w:ilvl="5">
      <w:start w:val="1"/>
      <w:numFmt w:val="lowerRoman"/>
      <w:lvlText w:val="%6."/>
      <w:lvlJc w:val="left"/>
      <w:pPr>
        <w:ind w:left="4000" w:hanging="300"/>
      </w:pPr>
      <w:rPr>
        <w:b w:val="1"/>
        <w:bCs w:val="1"/>
        <w:i w:val="1"/>
        <w:iCs w:val="1"/>
        <w:smallCaps w:val="0"/>
        <w:strike w:val="0"/>
        <w:shd w:fill="auto" w:val="clear"/>
        <w:vertAlign w:val="baseline"/>
      </w:rPr>
    </w:lvl>
    <w:lvl w:ilvl="6">
      <w:start w:val="1"/>
      <w:numFmt w:val="decimal"/>
      <w:lvlText w:val="%7."/>
      <w:lvlJc w:val="left"/>
      <w:pPr>
        <w:ind w:left="4720" w:hanging="360"/>
      </w:pPr>
      <w:rPr>
        <w:b w:val="1"/>
        <w:bCs w:val="1"/>
        <w:i w:val="1"/>
        <w:iCs w:val="1"/>
        <w:smallCaps w:val="0"/>
        <w:strike w:val="0"/>
        <w:shd w:fill="auto" w:val="clear"/>
        <w:vertAlign w:val="baseline"/>
      </w:rPr>
    </w:lvl>
    <w:lvl w:ilvl="7">
      <w:start w:val="1"/>
      <w:numFmt w:val="lowerLetter"/>
      <w:lvlText w:val="%8."/>
      <w:lvlJc w:val="left"/>
      <w:pPr>
        <w:ind w:left="5440" w:hanging="360"/>
      </w:pPr>
      <w:rPr>
        <w:b w:val="1"/>
        <w:bCs w:val="1"/>
        <w:i w:val="1"/>
        <w:iCs w:val="1"/>
        <w:smallCaps w:val="0"/>
        <w:strike w:val="0"/>
        <w:shd w:fill="auto" w:val="clear"/>
        <w:vertAlign w:val="baseline"/>
      </w:rPr>
    </w:lvl>
    <w:lvl w:ilvl="8">
      <w:start w:val="1"/>
      <w:numFmt w:val="lowerRoman"/>
      <w:lvlText w:val="%9."/>
      <w:lvlJc w:val="left"/>
      <w:pPr>
        <w:ind w:left="6160" w:hanging="300"/>
      </w:pPr>
      <w:rPr>
        <w:b w:val="1"/>
        <w:bCs w:val="1"/>
        <w:i w:val="1"/>
        <w:iCs w:val="1"/>
        <w:smallCaps w:val="0"/>
        <w:strike w:val="0"/>
        <w:shd w:fill="auto" w:val="clear"/>
        <w:vertAlign w:val="baseline"/>
      </w:rPr>
    </w:lvl>
  </w:abstractNum>
  <w:abstractNum w:abstractNumId="2">
    <w:lvl w:ilvl="0">
      <w:start w:val="1"/>
      <w:numFmt w:val="lowerLetter"/>
      <w:lvlText w:val="%1)"/>
      <w:lvlJc w:val="left"/>
      <w:pPr>
        <w:ind w:left="508" w:hanging="468"/>
      </w:pPr>
      <w:rPr>
        <w:smallCaps w:val="0"/>
        <w:strike w:val="0"/>
        <w:shd w:fill="auto" w:val="clear"/>
        <w:vertAlign w:val="baseline"/>
      </w:rPr>
    </w:lvl>
    <w:lvl w:ilvl="1">
      <w:start w:val="1"/>
      <w:numFmt w:val="lowerLetter"/>
      <w:lvlText w:val="%2."/>
      <w:lvlJc w:val="left"/>
      <w:pPr>
        <w:ind w:left="1228" w:hanging="468"/>
      </w:pPr>
      <w:rPr>
        <w:smallCaps w:val="0"/>
        <w:strike w:val="0"/>
        <w:shd w:fill="auto" w:val="clear"/>
        <w:vertAlign w:val="baseline"/>
      </w:rPr>
    </w:lvl>
    <w:lvl w:ilvl="2">
      <w:start w:val="1"/>
      <w:numFmt w:val="lowerRoman"/>
      <w:lvlText w:val="%3."/>
      <w:lvlJc w:val="left"/>
      <w:pPr>
        <w:ind w:left="1948" w:hanging="408"/>
      </w:pPr>
      <w:rPr>
        <w:smallCaps w:val="0"/>
        <w:strike w:val="0"/>
        <w:shd w:fill="auto" w:val="clear"/>
        <w:vertAlign w:val="baseline"/>
      </w:rPr>
    </w:lvl>
    <w:lvl w:ilvl="3">
      <w:start w:val="1"/>
      <w:numFmt w:val="decimal"/>
      <w:lvlText w:val="%4."/>
      <w:lvlJc w:val="left"/>
      <w:pPr>
        <w:ind w:left="2668" w:hanging="468"/>
      </w:pPr>
      <w:rPr>
        <w:smallCaps w:val="0"/>
        <w:strike w:val="0"/>
        <w:shd w:fill="auto" w:val="clear"/>
        <w:vertAlign w:val="baseline"/>
      </w:rPr>
    </w:lvl>
    <w:lvl w:ilvl="4">
      <w:start w:val="1"/>
      <w:numFmt w:val="lowerLetter"/>
      <w:lvlText w:val="%5."/>
      <w:lvlJc w:val="left"/>
      <w:pPr>
        <w:ind w:left="3388" w:hanging="468"/>
      </w:pPr>
      <w:rPr>
        <w:smallCaps w:val="0"/>
        <w:strike w:val="0"/>
        <w:shd w:fill="auto" w:val="clear"/>
        <w:vertAlign w:val="baseline"/>
      </w:rPr>
    </w:lvl>
    <w:lvl w:ilvl="5">
      <w:start w:val="1"/>
      <w:numFmt w:val="lowerRoman"/>
      <w:lvlText w:val="%6."/>
      <w:lvlJc w:val="left"/>
      <w:pPr>
        <w:ind w:left="4108" w:hanging="408"/>
      </w:pPr>
      <w:rPr>
        <w:smallCaps w:val="0"/>
        <w:strike w:val="0"/>
        <w:shd w:fill="auto" w:val="clear"/>
        <w:vertAlign w:val="baseline"/>
      </w:rPr>
    </w:lvl>
    <w:lvl w:ilvl="6">
      <w:start w:val="1"/>
      <w:numFmt w:val="decimal"/>
      <w:lvlText w:val="%7."/>
      <w:lvlJc w:val="left"/>
      <w:pPr>
        <w:ind w:left="4828" w:hanging="468"/>
      </w:pPr>
      <w:rPr>
        <w:smallCaps w:val="0"/>
        <w:strike w:val="0"/>
        <w:shd w:fill="auto" w:val="clear"/>
        <w:vertAlign w:val="baseline"/>
      </w:rPr>
    </w:lvl>
    <w:lvl w:ilvl="7">
      <w:start w:val="1"/>
      <w:numFmt w:val="lowerLetter"/>
      <w:lvlText w:val="%8."/>
      <w:lvlJc w:val="left"/>
      <w:pPr>
        <w:ind w:left="5548" w:hanging="468.0000000000009"/>
      </w:pPr>
      <w:rPr>
        <w:smallCaps w:val="0"/>
        <w:strike w:val="0"/>
        <w:shd w:fill="auto" w:val="clear"/>
        <w:vertAlign w:val="baseline"/>
      </w:rPr>
    </w:lvl>
    <w:lvl w:ilvl="8">
      <w:start w:val="1"/>
      <w:numFmt w:val="lowerRoman"/>
      <w:lvlText w:val="%9."/>
      <w:lvlJc w:val="left"/>
      <w:pPr>
        <w:ind w:left="6268" w:hanging="408"/>
      </w:pPr>
      <w:rPr>
        <w:smallCaps w:val="0"/>
        <w:strike w:val="0"/>
        <w:shd w:fill="auto" w:val="clear"/>
        <w:vertAlign w:val="baseline"/>
      </w:rPr>
    </w:lvl>
  </w:abstractNum>
  <w:abstractNum w:abstractNumId="3">
    <w:lvl w:ilvl="0">
      <w:start w:val="2"/>
      <w:numFmt w:val="lowerLetter"/>
      <w:lvlText w:val="%1)"/>
      <w:lvlJc w:val="left"/>
      <w:pPr>
        <w:ind w:left="400" w:hanging="360"/>
      </w:pPr>
      <w:rPr>
        <w:b w:val="1"/>
        <w:bCs w:val="1"/>
        <w:i w:val="1"/>
        <w:iCs w:val="1"/>
        <w:smallCaps w:val="0"/>
        <w:strike w:val="0"/>
        <w:shd w:fill="auto" w:val="clear"/>
        <w:vertAlign w:val="baseline"/>
      </w:rPr>
    </w:lvl>
    <w:lvl w:ilvl="1">
      <w:start w:val="1"/>
      <w:numFmt w:val="lowerLetter"/>
      <w:lvlText w:val="%2."/>
      <w:lvlJc w:val="left"/>
      <w:pPr>
        <w:ind w:left="1120" w:hanging="360"/>
      </w:pPr>
      <w:rPr>
        <w:b w:val="1"/>
        <w:bCs w:val="1"/>
        <w:i w:val="1"/>
        <w:iCs w:val="1"/>
        <w:smallCaps w:val="0"/>
        <w:strike w:val="0"/>
        <w:shd w:fill="auto" w:val="clear"/>
        <w:vertAlign w:val="baseline"/>
      </w:rPr>
    </w:lvl>
    <w:lvl w:ilvl="2">
      <w:start w:val="1"/>
      <w:numFmt w:val="lowerRoman"/>
      <w:lvlText w:val="%3."/>
      <w:lvlJc w:val="left"/>
      <w:pPr>
        <w:ind w:left="1840" w:hanging="300"/>
      </w:pPr>
      <w:rPr>
        <w:b w:val="1"/>
        <w:bCs w:val="1"/>
        <w:i w:val="1"/>
        <w:iCs w:val="1"/>
        <w:smallCaps w:val="0"/>
        <w:strike w:val="0"/>
        <w:shd w:fill="auto" w:val="clear"/>
        <w:vertAlign w:val="baseline"/>
      </w:rPr>
    </w:lvl>
    <w:lvl w:ilvl="3">
      <w:start w:val="1"/>
      <w:numFmt w:val="decimal"/>
      <w:lvlText w:val="%4."/>
      <w:lvlJc w:val="left"/>
      <w:pPr>
        <w:ind w:left="2560" w:hanging="360"/>
      </w:pPr>
      <w:rPr>
        <w:b w:val="1"/>
        <w:bCs w:val="1"/>
        <w:i w:val="1"/>
        <w:iCs w:val="1"/>
        <w:smallCaps w:val="0"/>
        <w:strike w:val="0"/>
        <w:shd w:fill="auto" w:val="clear"/>
        <w:vertAlign w:val="baseline"/>
      </w:rPr>
    </w:lvl>
    <w:lvl w:ilvl="4">
      <w:start w:val="1"/>
      <w:numFmt w:val="lowerLetter"/>
      <w:lvlText w:val="%5."/>
      <w:lvlJc w:val="left"/>
      <w:pPr>
        <w:ind w:left="3280" w:hanging="360"/>
      </w:pPr>
      <w:rPr>
        <w:b w:val="1"/>
        <w:bCs w:val="1"/>
        <w:i w:val="1"/>
        <w:iCs w:val="1"/>
        <w:smallCaps w:val="0"/>
        <w:strike w:val="0"/>
        <w:shd w:fill="auto" w:val="clear"/>
        <w:vertAlign w:val="baseline"/>
      </w:rPr>
    </w:lvl>
    <w:lvl w:ilvl="5">
      <w:start w:val="1"/>
      <w:numFmt w:val="lowerRoman"/>
      <w:lvlText w:val="%6."/>
      <w:lvlJc w:val="left"/>
      <w:pPr>
        <w:ind w:left="4000" w:hanging="300"/>
      </w:pPr>
      <w:rPr>
        <w:b w:val="1"/>
        <w:bCs w:val="1"/>
        <w:i w:val="1"/>
        <w:iCs w:val="1"/>
        <w:smallCaps w:val="0"/>
        <w:strike w:val="0"/>
        <w:shd w:fill="auto" w:val="clear"/>
        <w:vertAlign w:val="baseline"/>
      </w:rPr>
    </w:lvl>
    <w:lvl w:ilvl="6">
      <w:start w:val="1"/>
      <w:numFmt w:val="decimal"/>
      <w:lvlText w:val="%7."/>
      <w:lvlJc w:val="left"/>
      <w:pPr>
        <w:ind w:left="4720" w:hanging="360"/>
      </w:pPr>
      <w:rPr>
        <w:b w:val="1"/>
        <w:bCs w:val="1"/>
        <w:i w:val="1"/>
        <w:iCs w:val="1"/>
        <w:smallCaps w:val="0"/>
        <w:strike w:val="0"/>
        <w:shd w:fill="auto" w:val="clear"/>
        <w:vertAlign w:val="baseline"/>
      </w:rPr>
    </w:lvl>
    <w:lvl w:ilvl="7">
      <w:start w:val="1"/>
      <w:numFmt w:val="lowerLetter"/>
      <w:lvlText w:val="%8."/>
      <w:lvlJc w:val="left"/>
      <w:pPr>
        <w:ind w:left="5440" w:hanging="360"/>
      </w:pPr>
      <w:rPr>
        <w:b w:val="1"/>
        <w:bCs w:val="1"/>
        <w:i w:val="1"/>
        <w:iCs w:val="1"/>
        <w:smallCaps w:val="0"/>
        <w:strike w:val="0"/>
        <w:shd w:fill="auto" w:val="clear"/>
        <w:vertAlign w:val="baseline"/>
      </w:rPr>
    </w:lvl>
    <w:lvl w:ilvl="8">
      <w:start w:val="1"/>
      <w:numFmt w:val="lowerRoman"/>
      <w:lvlText w:val="%9."/>
      <w:lvlJc w:val="left"/>
      <w:pPr>
        <w:ind w:left="6160" w:hanging="300"/>
      </w:pPr>
      <w:rPr>
        <w:b w:val="1"/>
        <w:bCs w:val="1"/>
        <w:i w:val="1"/>
        <w:iCs w:val="1"/>
        <w:smallCaps w:val="0"/>
        <w:strike w:val="0"/>
        <w:shd w:fill="auto" w:val="clear"/>
        <w:vertAlign w:val="baseline"/>
      </w:rPr>
    </w:lvl>
  </w:abstractNum>
  <w:abstractNum w:abstractNumId="4">
    <w:lvl w:ilvl="0">
      <w:start w:val="1"/>
      <w:numFmt w:val="bullet"/>
      <w:lvlText w:val="-"/>
      <w:lvlJc w:val="left"/>
      <w:pPr>
        <w:ind w:left="189" w:hanging="189"/>
      </w:pPr>
      <w:rPr>
        <w:rFonts w:ascii="Times New Roman" w:cs="Times New Roman" w:eastAsia="Times New Roman" w:hAnsi="Times New Roman"/>
        <w:b w:val="0"/>
        <w:bCs w:val="0"/>
        <w:i w:val="0"/>
        <w:iCs w:val="0"/>
        <w:smallCaps w:val="0"/>
        <w:strike w:val="0"/>
        <w:shd w:fill="auto" w:val="clear"/>
        <w:vertAlign w:val="baseline"/>
      </w:rPr>
    </w:lvl>
    <w:lvl w:ilvl="1">
      <w:start w:val="1"/>
      <w:numFmt w:val="bullet"/>
      <w:lvlText w:val="-"/>
      <w:lvlJc w:val="left"/>
      <w:pPr>
        <w:ind w:left="789" w:hanging="188.9999999999999"/>
      </w:pPr>
      <w:rPr>
        <w:rFonts w:ascii="Times New Roman" w:cs="Times New Roman" w:eastAsia="Times New Roman" w:hAnsi="Times New Roman"/>
        <w:b w:val="0"/>
        <w:bCs w:val="0"/>
        <w:i w:val="0"/>
        <w:iCs w:val="0"/>
        <w:smallCaps w:val="0"/>
        <w:strike w:val="0"/>
        <w:shd w:fill="auto" w:val="clear"/>
        <w:vertAlign w:val="baseline"/>
      </w:rPr>
    </w:lvl>
    <w:lvl w:ilvl="2">
      <w:start w:val="1"/>
      <w:numFmt w:val="bullet"/>
      <w:lvlText w:val="-"/>
      <w:lvlJc w:val="left"/>
      <w:pPr>
        <w:ind w:left="1389" w:hanging="189"/>
      </w:pPr>
      <w:rPr>
        <w:rFonts w:ascii="Times New Roman" w:cs="Times New Roman" w:eastAsia="Times New Roman" w:hAnsi="Times New Roman"/>
        <w:b w:val="0"/>
        <w:bCs w:val="0"/>
        <w:i w:val="0"/>
        <w:iCs w:val="0"/>
        <w:smallCaps w:val="0"/>
        <w:strike w:val="0"/>
        <w:shd w:fill="auto" w:val="clear"/>
        <w:vertAlign w:val="baseline"/>
      </w:rPr>
    </w:lvl>
    <w:lvl w:ilvl="3">
      <w:start w:val="1"/>
      <w:numFmt w:val="bullet"/>
      <w:lvlText w:val="-"/>
      <w:lvlJc w:val="left"/>
      <w:pPr>
        <w:ind w:left="1989" w:hanging="189"/>
      </w:pPr>
      <w:rPr>
        <w:rFonts w:ascii="Times New Roman" w:cs="Times New Roman" w:eastAsia="Times New Roman" w:hAnsi="Times New Roman"/>
        <w:b w:val="0"/>
        <w:bCs w:val="0"/>
        <w:i w:val="0"/>
        <w:iCs w:val="0"/>
        <w:smallCaps w:val="0"/>
        <w:strike w:val="0"/>
        <w:shd w:fill="auto" w:val="clear"/>
        <w:vertAlign w:val="baseline"/>
      </w:rPr>
    </w:lvl>
    <w:lvl w:ilvl="4">
      <w:start w:val="1"/>
      <w:numFmt w:val="bullet"/>
      <w:lvlText w:val="-"/>
      <w:lvlJc w:val="left"/>
      <w:pPr>
        <w:ind w:left="2589" w:hanging="189.00000000000045"/>
      </w:pPr>
      <w:rPr>
        <w:rFonts w:ascii="Times New Roman" w:cs="Times New Roman" w:eastAsia="Times New Roman" w:hAnsi="Times New Roman"/>
        <w:b w:val="0"/>
        <w:bCs w:val="0"/>
        <w:i w:val="0"/>
        <w:iCs w:val="0"/>
        <w:smallCaps w:val="0"/>
        <w:strike w:val="0"/>
        <w:shd w:fill="auto" w:val="clear"/>
        <w:vertAlign w:val="baseline"/>
      </w:rPr>
    </w:lvl>
    <w:lvl w:ilvl="5">
      <w:start w:val="1"/>
      <w:numFmt w:val="bullet"/>
      <w:lvlText w:val="-"/>
      <w:lvlJc w:val="left"/>
      <w:pPr>
        <w:ind w:left="3189" w:hanging="189"/>
      </w:pPr>
      <w:rPr>
        <w:rFonts w:ascii="Times New Roman" w:cs="Times New Roman" w:eastAsia="Times New Roman" w:hAnsi="Times New Roman"/>
        <w:b w:val="0"/>
        <w:bCs w:val="0"/>
        <w:i w:val="0"/>
        <w:iCs w:val="0"/>
        <w:smallCaps w:val="0"/>
        <w:strike w:val="0"/>
        <w:shd w:fill="auto" w:val="clear"/>
        <w:vertAlign w:val="baseline"/>
      </w:rPr>
    </w:lvl>
    <w:lvl w:ilvl="6">
      <w:start w:val="1"/>
      <w:numFmt w:val="bullet"/>
      <w:lvlText w:val="-"/>
      <w:lvlJc w:val="left"/>
      <w:pPr>
        <w:ind w:left="3789" w:hanging="189"/>
      </w:pPr>
      <w:rPr>
        <w:rFonts w:ascii="Times New Roman" w:cs="Times New Roman" w:eastAsia="Times New Roman" w:hAnsi="Times New Roman"/>
        <w:b w:val="0"/>
        <w:bCs w:val="0"/>
        <w:i w:val="0"/>
        <w:iCs w:val="0"/>
        <w:smallCaps w:val="0"/>
        <w:strike w:val="0"/>
        <w:shd w:fill="auto" w:val="clear"/>
        <w:vertAlign w:val="baseline"/>
      </w:rPr>
    </w:lvl>
    <w:lvl w:ilvl="7">
      <w:start w:val="1"/>
      <w:numFmt w:val="bullet"/>
      <w:lvlText w:val="-"/>
      <w:lvlJc w:val="left"/>
      <w:pPr>
        <w:ind w:left="4389" w:hanging="189"/>
      </w:pPr>
      <w:rPr>
        <w:rFonts w:ascii="Times New Roman" w:cs="Times New Roman" w:eastAsia="Times New Roman" w:hAnsi="Times New Roman"/>
        <w:b w:val="0"/>
        <w:bCs w:val="0"/>
        <w:i w:val="0"/>
        <w:iCs w:val="0"/>
        <w:smallCaps w:val="0"/>
        <w:strike w:val="0"/>
        <w:shd w:fill="auto" w:val="clear"/>
        <w:vertAlign w:val="baseline"/>
      </w:rPr>
    </w:lvl>
    <w:lvl w:ilvl="8">
      <w:start w:val="1"/>
      <w:numFmt w:val="bullet"/>
      <w:lvlText w:val="-"/>
      <w:lvlJc w:val="left"/>
      <w:pPr>
        <w:ind w:left="4989" w:hanging="189"/>
      </w:pPr>
      <w:rPr>
        <w:rFonts w:ascii="Times New Roman" w:cs="Times New Roman" w:eastAsia="Times New Roman" w:hAnsi="Times New Roman"/>
        <w:b w:val="0"/>
        <w:bCs w:val="0"/>
        <w:i w:val="0"/>
        <w:iCs w:val="0"/>
        <w:smallCaps w:val="0"/>
        <w:strike w:val="0"/>
        <w:shd w:fill="auto" w:val="clear"/>
        <w:vertAlign w:val="baseline"/>
      </w:rPr>
    </w:lvl>
  </w:abstractNum>
  <w:abstractNum w:abstractNumId="5">
    <w:lvl w:ilvl="0">
      <w:start w:val="1"/>
      <w:numFmt w:val="bullet"/>
      <w:lvlText w:val="-"/>
      <w:lvlJc w:val="left"/>
      <w:pPr>
        <w:ind w:left="189" w:hanging="189"/>
      </w:pPr>
      <w:rPr>
        <w:rFonts w:ascii="Times New Roman" w:cs="Times New Roman" w:eastAsia="Times New Roman" w:hAnsi="Times New Roman"/>
        <w:b w:val="0"/>
        <w:bCs w:val="0"/>
        <w:i w:val="0"/>
        <w:iCs w:val="0"/>
        <w:smallCaps w:val="0"/>
        <w:strike w:val="0"/>
        <w:shd w:fill="auto" w:val="clear"/>
        <w:vertAlign w:val="baseline"/>
      </w:rPr>
    </w:lvl>
    <w:lvl w:ilvl="1">
      <w:start w:val="1"/>
      <w:numFmt w:val="bullet"/>
      <w:lvlText w:val="-"/>
      <w:lvlJc w:val="left"/>
      <w:pPr>
        <w:ind w:left="789" w:hanging="188.9999999999999"/>
      </w:pPr>
      <w:rPr>
        <w:rFonts w:ascii="Times New Roman" w:cs="Times New Roman" w:eastAsia="Times New Roman" w:hAnsi="Times New Roman"/>
        <w:b w:val="0"/>
        <w:bCs w:val="0"/>
        <w:i w:val="0"/>
        <w:iCs w:val="0"/>
        <w:smallCaps w:val="0"/>
        <w:strike w:val="0"/>
        <w:shd w:fill="auto" w:val="clear"/>
        <w:vertAlign w:val="baseline"/>
      </w:rPr>
    </w:lvl>
    <w:lvl w:ilvl="2">
      <w:start w:val="1"/>
      <w:numFmt w:val="bullet"/>
      <w:lvlText w:val="-"/>
      <w:lvlJc w:val="left"/>
      <w:pPr>
        <w:ind w:left="1389" w:hanging="189"/>
      </w:pPr>
      <w:rPr>
        <w:rFonts w:ascii="Times New Roman" w:cs="Times New Roman" w:eastAsia="Times New Roman" w:hAnsi="Times New Roman"/>
        <w:b w:val="0"/>
        <w:bCs w:val="0"/>
        <w:i w:val="0"/>
        <w:iCs w:val="0"/>
        <w:smallCaps w:val="0"/>
        <w:strike w:val="0"/>
        <w:shd w:fill="auto" w:val="clear"/>
        <w:vertAlign w:val="baseline"/>
      </w:rPr>
    </w:lvl>
    <w:lvl w:ilvl="3">
      <w:start w:val="1"/>
      <w:numFmt w:val="bullet"/>
      <w:lvlText w:val="-"/>
      <w:lvlJc w:val="left"/>
      <w:pPr>
        <w:ind w:left="1989" w:hanging="189"/>
      </w:pPr>
      <w:rPr>
        <w:rFonts w:ascii="Times New Roman" w:cs="Times New Roman" w:eastAsia="Times New Roman" w:hAnsi="Times New Roman"/>
        <w:b w:val="0"/>
        <w:bCs w:val="0"/>
        <w:i w:val="0"/>
        <w:iCs w:val="0"/>
        <w:smallCaps w:val="0"/>
        <w:strike w:val="0"/>
        <w:shd w:fill="auto" w:val="clear"/>
        <w:vertAlign w:val="baseline"/>
      </w:rPr>
    </w:lvl>
    <w:lvl w:ilvl="4">
      <w:start w:val="1"/>
      <w:numFmt w:val="bullet"/>
      <w:lvlText w:val="-"/>
      <w:lvlJc w:val="left"/>
      <w:pPr>
        <w:ind w:left="2589" w:hanging="189.00000000000045"/>
      </w:pPr>
      <w:rPr>
        <w:rFonts w:ascii="Times New Roman" w:cs="Times New Roman" w:eastAsia="Times New Roman" w:hAnsi="Times New Roman"/>
        <w:b w:val="0"/>
        <w:bCs w:val="0"/>
        <w:i w:val="0"/>
        <w:iCs w:val="0"/>
        <w:smallCaps w:val="0"/>
        <w:strike w:val="0"/>
        <w:shd w:fill="auto" w:val="clear"/>
        <w:vertAlign w:val="baseline"/>
      </w:rPr>
    </w:lvl>
    <w:lvl w:ilvl="5">
      <w:start w:val="1"/>
      <w:numFmt w:val="bullet"/>
      <w:lvlText w:val="-"/>
      <w:lvlJc w:val="left"/>
      <w:pPr>
        <w:ind w:left="3189" w:hanging="189"/>
      </w:pPr>
      <w:rPr>
        <w:rFonts w:ascii="Times New Roman" w:cs="Times New Roman" w:eastAsia="Times New Roman" w:hAnsi="Times New Roman"/>
        <w:b w:val="0"/>
        <w:bCs w:val="0"/>
        <w:i w:val="0"/>
        <w:iCs w:val="0"/>
        <w:smallCaps w:val="0"/>
        <w:strike w:val="0"/>
        <w:shd w:fill="auto" w:val="clear"/>
        <w:vertAlign w:val="baseline"/>
      </w:rPr>
    </w:lvl>
    <w:lvl w:ilvl="6">
      <w:start w:val="1"/>
      <w:numFmt w:val="bullet"/>
      <w:lvlText w:val="-"/>
      <w:lvlJc w:val="left"/>
      <w:pPr>
        <w:ind w:left="3789" w:hanging="189"/>
      </w:pPr>
      <w:rPr>
        <w:rFonts w:ascii="Times New Roman" w:cs="Times New Roman" w:eastAsia="Times New Roman" w:hAnsi="Times New Roman"/>
        <w:b w:val="0"/>
        <w:bCs w:val="0"/>
        <w:i w:val="0"/>
        <w:iCs w:val="0"/>
        <w:smallCaps w:val="0"/>
        <w:strike w:val="0"/>
        <w:shd w:fill="auto" w:val="clear"/>
        <w:vertAlign w:val="baseline"/>
      </w:rPr>
    </w:lvl>
    <w:lvl w:ilvl="7">
      <w:start w:val="1"/>
      <w:numFmt w:val="bullet"/>
      <w:lvlText w:val="-"/>
      <w:lvlJc w:val="left"/>
      <w:pPr>
        <w:ind w:left="4389" w:hanging="189"/>
      </w:pPr>
      <w:rPr>
        <w:rFonts w:ascii="Times New Roman" w:cs="Times New Roman" w:eastAsia="Times New Roman" w:hAnsi="Times New Roman"/>
        <w:b w:val="0"/>
        <w:bCs w:val="0"/>
        <w:i w:val="0"/>
        <w:iCs w:val="0"/>
        <w:smallCaps w:val="0"/>
        <w:strike w:val="0"/>
        <w:shd w:fill="auto" w:val="clear"/>
        <w:vertAlign w:val="baseline"/>
      </w:rPr>
    </w:lvl>
    <w:lvl w:ilvl="8">
      <w:start w:val="1"/>
      <w:numFmt w:val="bullet"/>
      <w:lvlText w:val="-"/>
      <w:lvlJc w:val="left"/>
      <w:pPr>
        <w:ind w:left="4989" w:hanging="189"/>
      </w:pPr>
      <w:rPr>
        <w:rFonts w:ascii="Times New Roman" w:cs="Times New Roman" w:eastAsia="Times New Roman" w:hAnsi="Times New Roman"/>
        <w:b w:val="0"/>
        <w:bCs w:val="0"/>
        <w:i w:val="0"/>
        <w:iCs w:val="0"/>
        <w:smallCaps w:val="0"/>
        <w:strike w:val="0"/>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u w:val="single"/>
    </w:rPr>
  </w:style>
  <w:style w:type="table" w:styleId="TableNormal1" w:customStyle="1">
    <w:name w:val="Table Normal1"/>
    <w:tblPr>
      <w:tblInd w:w="0.0" w:type="dxa"/>
      <w:tblCellMar>
        <w:top w:w="0.0" w:type="dxa"/>
        <w:left w:w="0.0" w:type="dxa"/>
        <w:bottom w:w="0.0" w:type="dxa"/>
        <w:right w:w="0.0" w:type="dxa"/>
      </w:tblCellMar>
    </w:tblPr>
  </w:style>
  <w:style w:type="paragraph" w:styleId="Header">
    <w:name w:val="header"/>
    <w:pPr>
      <w:tabs>
        <w:tab w:val="center" w:pos="4536"/>
        <w:tab w:val="right" w:pos="9072"/>
      </w:tabs>
    </w:pPr>
    <w:rPr>
      <w:rFonts w:ascii="Calibri" w:cs="Arial Unicode MS" w:hAnsi="Calibri"/>
      <w:color w:val="000000"/>
      <w:sz w:val="22"/>
      <w:szCs w:val="22"/>
      <w:u w:color="000000"/>
      <w:lang w:val="it-IT"/>
    </w:rPr>
  </w:style>
  <w:style w:type="paragraph" w:styleId="HeaderFooter" w:customStyle="1">
    <w:name w:val="Header &amp; Footer"/>
    <w:pPr>
      <w:tabs>
        <w:tab w:val="right" w:pos="9020"/>
      </w:tabs>
    </w:pPr>
    <w:rPr>
      <w:rFonts w:ascii="Helvetica Neue" w:cs="Helvetica Neue" w:eastAsia="Helvetica Neue" w:hAnsi="Helvetica Neue"/>
      <w:color w:val="000000"/>
      <w:sz w:val="24"/>
      <w:szCs w:val="24"/>
      <w14:textOutline w14:cap="flat" w14:cmpd="sng" w14:algn="ctr">
        <w14:noFill/>
        <w14:prstDash w14:val="solid"/>
        <w14:bevel/>
      </w14:textOutline>
    </w:rPr>
  </w:style>
  <w:style w:type="paragraph" w:styleId="BodyA" w:customStyle="1">
    <w:name w:val="Body A"/>
    <w:pPr>
      <w:spacing w:after="200" w:line="276" w:lineRule="auto"/>
    </w:pPr>
    <w:rPr>
      <w:rFonts w:ascii="Calibri" w:cs="Calibri" w:eastAsia="Calibri" w:hAnsi="Calibri"/>
      <w:color w:val="000000"/>
      <w:sz w:val="22"/>
      <w:szCs w:val="22"/>
      <w:u w:color="000000"/>
      <w14:textOutline w14:cap="flat" w14:cmpd="sng" w14:w="12700" w14:algn="ctr">
        <w14:noFill/>
        <w14:prstDash w14:val="solid"/>
        <w14:miter w14:lim="400000"/>
      </w14:textOutline>
    </w:rPr>
  </w:style>
  <w:style w:type="paragraph" w:styleId="Default" w:customStyle="1">
    <w:name w:val="Default"/>
    <w:pPr>
      <w:spacing w:after="200" w:line="276" w:lineRule="auto"/>
    </w:pPr>
    <w:rPr>
      <w:rFonts w:eastAsia="Times New Roman"/>
      <w:color w:val="000000"/>
      <w:sz w:val="24"/>
      <w:szCs w:val="24"/>
      <w:u w:color="000000"/>
      <w14:textOutline w14:cap="flat" w14:cmpd="sng" w14:w="12700" w14:algn="ctr">
        <w14:noFill/>
        <w14:prstDash w14:val="solid"/>
        <w14:miter w14:lim="400000"/>
      </w14:textOutline>
    </w:rPr>
  </w:style>
  <w:style w:type="numbering" w:styleId="ImportedStyle1" w:customStyle="1">
    <w:name w:val="Imported Style 1"/>
    <w:pPr>
      <w:numPr>
        <w:numId w:val="1"/>
      </w:numPr>
    </w:pPr>
  </w:style>
  <w:style w:type="paragraph" w:styleId="ListParagraph">
    <w:name w:val="List Paragraph"/>
    <w:pPr>
      <w:spacing w:after="200" w:line="276" w:lineRule="auto"/>
      <w:ind w:left="720"/>
    </w:pPr>
    <w:rPr>
      <w:rFonts w:ascii="Calibri" w:cs="Arial Unicode MS" w:hAnsi="Calibri"/>
      <w:color w:val="000000"/>
      <w:sz w:val="22"/>
      <w:szCs w:val="22"/>
      <w:u w:color="000000"/>
      <w:lang w:val="en-US"/>
    </w:rPr>
  </w:style>
  <w:style w:type="paragraph" w:styleId="Body" w:customStyle="1">
    <w:name w:val="Body"/>
    <w:rPr>
      <w:rFonts w:cs="Arial Unicode MS"/>
      <w:color w:val="000000"/>
      <w:sz w:val="24"/>
      <w:szCs w:val="24"/>
      <w:u w:color="000000"/>
      <w:lang w:val="en-US"/>
      <w14:textOutline w14:cap="flat" w14:cmpd="sng" w14:algn="ctr">
        <w14:noFill/>
        <w14:prstDash w14:val="solid"/>
        <w14:bevel/>
      </w14:textOutline>
    </w:rPr>
  </w:style>
  <w:style w:type="paragraph" w:styleId="Footer">
    <w:name w:val="footer"/>
    <w:basedOn w:val="Normal"/>
    <w:link w:val="FooterChar"/>
    <w:uiPriority w:val="99"/>
    <w:unhideWhenUsed w:val="1"/>
    <w:rsid w:val="00F458E9"/>
    <w:pPr>
      <w:tabs>
        <w:tab w:val="center" w:pos="4513"/>
        <w:tab w:val="right" w:pos="9026"/>
      </w:tabs>
    </w:pPr>
  </w:style>
  <w:style w:type="character" w:styleId="FooterChar" w:customStyle="1">
    <w:name w:val="Footer Char"/>
    <w:basedOn w:val="DefaultParagraphFont"/>
    <w:link w:val="Footer"/>
    <w:uiPriority w:val="99"/>
    <w:rsid w:val="00F458E9"/>
    <w:rPr>
      <w:sz w:val="24"/>
      <w:szCs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oVAW0mAiCGDtVIw0bg1Zf0jbNw==">CgMxLjAaHwoBMBIaChgICVIUChJ0YWJsZS4xdHFqeWJvcm1kNTIaHwoBMRIaChgICVIUChJ0YWJsZS5tOGhtNWV0N2R6bm44AHIhMVk0TFZocmhOSWtEN0daOFFVS1ZlZUItRWd3N1NQYUYt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2021-02-11T22:42:00Z</dcterms:created>
</cp:coreProperties>
</file>